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_GBK" w:eastAsia="方正小标宋_GBK" w:cs="黑体"/>
          <w:kern w:val="0"/>
          <w:sz w:val="44"/>
          <w:szCs w:val="44"/>
        </w:rPr>
      </w:pPr>
      <w:r>
        <w:rPr>
          <w:rFonts w:hint="eastAsia" w:ascii="方正小标宋_GBK" w:eastAsia="方正小标宋_GBK" w:cs="黑体"/>
          <w:kern w:val="0"/>
          <w:sz w:val="44"/>
          <w:szCs w:val="44"/>
        </w:rPr>
        <w:t>四川电子机械职业技术学院</w:t>
      </w:r>
    </w:p>
    <w:p>
      <w:pPr>
        <w:pStyle w:val="2"/>
        <w:spacing w:line="560" w:lineRule="exact"/>
        <w:jc w:val="center"/>
        <w:rPr>
          <w:rFonts w:hint="eastAsia" w:ascii="方正小标宋_GBK" w:eastAsia="方正小标宋_GBK" w:cs="黑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黑体"/>
          <w:kern w:val="0"/>
          <w:sz w:val="44"/>
          <w:szCs w:val="44"/>
        </w:rPr>
        <w:t>招聘岗位要求和条件一览表</w:t>
      </w:r>
    </w:p>
    <w:p>
      <w:pPr>
        <w:pStyle w:val="2"/>
        <w:spacing w:line="560" w:lineRule="exact"/>
        <w:jc w:val="center"/>
        <w:rPr>
          <w:rFonts w:hint="eastAsia" w:ascii="方正小标宋_GBK" w:eastAsia="方正小标宋_GBK" w:cs="黑体"/>
          <w:kern w:val="0"/>
          <w:sz w:val="32"/>
          <w:szCs w:val="32"/>
        </w:rPr>
      </w:pPr>
    </w:p>
    <w:tbl>
      <w:tblPr>
        <w:tblStyle w:val="3"/>
        <w:tblW w:w="9513" w:type="dxa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80"/>
        <w:gridCol w:w="2208"/>
        <w:gridCol w:w="1134"/>
        <w:gridCol w:w="829"/>
        <w:gridCol w:w="3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电子信息工程系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0" w:after="150" w:line="43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应用电子技术专业教师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智能产品开发专业教师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电子信息工程/电子科学与技术/微电子科学与工程/光电信息科学与工程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移动互联应用技术专业教师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电子信息工程/电子科学与技术/微电子科学与工程/光电信息科学与工程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软件工程/计算机科学与技术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计算机应用基础专业教师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计算机科学与技术/计算机应用技术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物联网工程/电子信息工程/计算机应用技术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机电工程系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机械设计与制造专业教师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机械工程/机械设计制造及其自动化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数控技术专业教师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数控技术（高级工、中级技师及以上）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工业机器人技术专业教师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机械设计制造及其自动化/电气工程及其自动化/机械电子工程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机电一体化技术专业教师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机械电子工程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机械设计制造及其自动化/电气工程及其自动化/自动化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智能控制技术专业教师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自动化/机械设计制造及其自动化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经济管理系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电子商务专业教师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会计学/财务学/审计学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幼儿发展与健康管理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学前教育/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建筑与艺术系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建筑设计专业教师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广告设计与制作专业教师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艺术设计专业（平面设计方向）/广告学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基础与思政部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大学语文教师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数学教育/应用数学/基础数学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思想政治教育/马克思主义中国化研究/马克思主义基本原理/马克思主义发展史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体育教学/体育教育/运动训练/体育教育训练学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系部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思想政治教育/教育学/教育管理/心理学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备注：</w:t>
            </w:r>
          </w:p>
          <w:p>
            <w:pPr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1大学语文、高等数学、英语、思想政治、体育教师需全日制硕士研究生；其余人员特别优秀者学历可放宽至本科学历；</w:t>
            </w:r>
          </w:p>
          <w:p>
            <w:pPr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2.具有本科以上学历，高校相应岗位工作经历，“双师型”教师，及中级以上职称者优先；</w:t>
            </w:r>
          </w:p>
          <w:p>
            <w:pPr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3.具有本科以上学历，企业专业岗位经历，具有中级及以上职称；或具有高级技工职业资格证书，属技术技能人才，学历可放宽至专科及以上。</w:t>
            </w:r>
          </w:p>
          <w:p>
            <w:pPr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4.辅导员要求本科及以上学历、中共党员，具有辅导员工作经验及在校期间担任学生干部者优先。</w:t>
            </w:r>
          </w:p>
        </w:tc>
      </w:tr>
    </w:tbl>
    <w:p>
      <w:pPr>
        <w:tabs>
          <w:tab w:val="left" w:pos="7560"/>
        </w:tabs>
        <w:ind w:right="-1573" w:rightChars="-74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20F9"/>
    <w:rsid w:val="35C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2019-12-11T06:52:00Z</dcterms:created>
  <dc:creator>陶然253613</dc:creator>
  <cp:lastModifiedBy>陶然253613</cp:lastModifiedBy>
  <dcterms:modified xsi:type="dcterms:W3CDTF">2019-12-11T06:53:51Z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