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00" w:lineRule="atLeast"/>
        <w:jc w:val="left"/>
        <w:outlineLvl w:val="0"/>
        <w:rPr>
          <w:rFonts w:eastAsia="仿宋_GB2312"/>
          <w:b/>
          <w:bCs/>
          <w:color w:val="000000"/>
          <w:kern w:val="0"/>
          <w:sz w:val="36"/>
          <w:szCs w:val="36"/>
        </w:rPr>
      </w:pPr>
      <w:bookmarkStart w:id="0" w:name="_Toc174163707"/>
      <w:bookmarkStart w:id="1" w:name="_Toc174078423"/>
    </w:p>
    <w:p>
      <w:pPr>
        <w:widowControl/>
        <w:wordWrap w:val="0"/>
        <w:spacing w:line="300" w:lineRule="atLeast"/>
        <w:jc w:val="left"/>
        <w:outlineLvl w:val="0"/>
        <w:rPr>
          <w:rFonts w:eastAsia="黑体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rect id="Quad Arrow 2" o:spid="_x0000_s1026" style="position:absolute;left:0;margin-left:336.9pt;margin-top:18pt;height:68.2pt;width:119.1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仿宋_GB2312" w:eastAsia="仿宋_GB2312"/>
                      <w:spacing w:val="-20"/>
                      <w:w w:val="80"/>
                      <w:sz w:val="84"/>
                      <w:szCs w:val="84"/>
                    </w:rPr>
                  </w:pPr>
                </w:p>
              </w:txbxContent>
            </v:textbox>
          </v:rect>
        </w:pict>
      </w:r>
    </w:p>
    <w:p>
      <w:pPr>
        <w:widowControl/>
        <w:wordWrap w:val="0"/>
        <w:spacing w:line="300" w:lineRule="atLeast"/>
        <w:jc w:val="left"/>
        <w:outlineLvl w:val="0"/>
        <w:rPr>
          <w:rFonts w:eastAsia="仿宋_GB2312"/>
          <w:b/>
          <w:bCs/>
          <w:color w:val="000000"/>
          <w:kern w:val="0"/>
          <w:sz w:val="36"/>
          <w:szCs w:val="36"/>
        </w:rPr>
      </w:pPr>
    </w:p>
    <w:p>
      <w:pPr>
        <w:widowControl/>
        <w:wordWrap w:val="0"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0"/>
        <w:rPr>
          <w:rFonts w:eastAsia="仿宋_GB2312"/>
          <w:bCs/>
          <w:color w:val="000000"/>
          <w:kern w:val="0"/>
          <w:szCs w:val="32"/>
        </w:rPr>
      </w:pPr>
    </w:p>
    <w:p>
      <w:pPr>
        <w:widowControl/>
        <w:wordWrap w:val="0"/>
        <w:adjustRightInd/>
        <w:snapToGrid/>
        <w:spacing w:line="240" w:lineRule="exact"/>
        <w:ind w:left="0" w:leftChars="0" w:right="0" w:firstLine="0" w:firstLineChars="0"/>
        <w:jc w:val="left"/>
        <w:textAlignment w:val="auto"/>
        <w:outlineLvl w:val="0"/>
        <w:rPr>
          <w:rFonts w:eastAsia="仿宋_GB2312"/>
          <w:bCs/>
          <w:color w:val="000000"/>
          <w:kern w:val="0"/>
          <w:sz w:val="10"/>
          <w:szCs w:val="10"/>
        </w:rPr>
      </w:pPr>
    </w:p>
    <w:p>
      <w:pPr>
        <w:widowControl/>
        <w:wordWrap w:val="0"/>
        <w:spacing w:line="320" w:lineRule="exact"/>
        <w:jc w:val="left"/>
        <w:outlineLvl w:val="0"/>
        <w:rPr>
          <w:rFonts w:eastAsia="仿宋_GB2312"/>
          <w:bCs/>
          <w:color w:val="000000"/>
          <w:kern w:val="0"/>
          <w:sz w:val="10"/>
          <w:szCs w:val="10"/>
        </w:rPr>
      </w:pPr>
    </w:p>
    <w:p>
      <w:pPr>
        <w:widowControl/>
        <w:wordWrap w:val="0"/>
        <w:spacing w:line="320" w:lineRule="exact"/>
        <w:jc w:val="left"/>
        <w:outlineLvl w:val="0"/>
        <w:rPr>
          <w:rFonts w:eastAsia="仿宋_GB2312"/>
          <w:bCs/>
          <w:color w:val="000000"/>
          <w:kern w:val="0"/>
          <w:sz w:val="10"/>
          <w:szCs w:val="10"/>
        </w:rPr>
      </w:pPr>
    </w:p>
    <w:bookmarkEnd w:id="0"/>
    <w:bookmarkEnd w:id="1"/>
    <w:p>
      <w:pPr>
        <w:widowControl/>
        <w:spacing w:after="305" w:afterLines="50" w:line="120" w:lineRule="auto"/>
        <w:jc w:val="center"/>
        <w:outlineLvl w:val="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川电机职院</w:t>
      </w:r>
      <w:r>
        <w:rPr>
          <w:rFonts w:hint="eastAsia"/>
          <w:bCs/>
          <w:color w:val="000000"/>
          <w:kern w:val="0"/>
          <w:szCs w:val="32"/>
        </w:rPr>
        <w:t>招</w:t>
      </w:r>
      <w:r>
        <w:rPr>
          <w:bCs/>
          <w:color w:val="000000"/>
          <w:kern w:val="0"/>
          <w:szCs w:val="32"/>
        </w:rPr>
        <w:t>〔201</w:t>
      </w:r>
      <w:r>
        <w:rPr>
          <w:rFonts w:hint="eastAsia"/>
          <w:bCs/>
          <w:color w:val="000000"/>
          <w:kern w:val="0"/>
          <w:szCs w:val="32"/>
        </w:rPr>
        <w:t>6</w:t>
      </w:r>
      <w:r>
        <w:rPr>
          <w:bCs/>
          <w:color w:val="000000"/>
          <w:kern w:val="0"/>
          <w:szCs w:val="32"/>
        </w:rPr>
        <w:t>〕</w:t>
      </w:r>
      <w:r>
        <w:rPr>
          <w:rFonts w:hint="eastAsia"/>
          <w:bCs/>
          <w:color w:val="000000"/>
          <w:kern w:val="0"/>
          <w:szCs w:val="32"/>
        </w:rPr>
        <w:t>1</w:t>
      </w:r>
      <w:r>
        <w:rPr>
          <w:bCs/>
          <w:color w:val="000000"/>
          <w:kern w:val="0"/>
          <w:szCs w:val="32"/>
        </w:rPr>
        <w:t>号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关于申请2016届毕业生就业帮扶经费的通知</w:t>
      </w:r>
    </w:p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>各系（部）：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为切实做好</w:t>
      </w:r>
      <w:r>
        <w:rPr>
          <w:rFonts w:hint="eastAsia"/>
          <w:szCs w:val="32"/>
        </w:rPr>
        <w:t>帮扶家庭经济困难和就业困难毕业生就业</w:t>
      </w:r>
      <w:r>
        <w:rPr>
          <w:szCs w:val="32"/>
        </w:rPr>
        <w:t>，</w:t>
      </w:r>
      <w:r>
        <w:rPr>
          <w:rFonts w:hint="eastAsia"/>
          <w:szCs w:val="32"/>
        </w:rPr>
        <w:t>根据四川省教育厅</w:t>
      </w:r>
      <w:r>
        <w:rPr>
          <w:szCs w:val="32"/>
        </w:rPr>
        <w:t>《关于</w:t>
      </w:r>
      <w:r>
        <w:rPr>
          <w:rFonts w:hint="eastAsia"/>
          <w:szCs w:val="32"/>
        </w:rPr>
        <w:t>使用2016年高校毕业生就业困难帮扶与就业工作专项经费的函</w:t>
      </w:r>
      <w:r>
        <w:rPr>
          <w:szCs w:val="32"/>
        </w:rPr>
        <w:t>》</w:t>
      </w:r>
      <w:r>
        <w:rPr>
          <w:rFonts w:hint="eastAsia"/>
          <w:szCs w:val="32"/>
        </w:rPr>
        <w:t>有关要求</w:t>
      </w:r>
      <w:r>
        <w:rPr>
          <w:szCs w:val="32"/>
        </w:rPr>
        <w:t>，</w:t>
      </w:r>
      <w:r>
        <w:rPr>
          <w:rFonts w:hint="eastAsia"/>
          <w:szCs w:val="32"/>
        </w:rPr>
        <w:t>切实帮助我院困难毕业生顺利走上工作岗位，有效推动我院毕业生就业工作开展，现</w:t>
      </w:r>
      <w:r>
        <w:rPr>
          <w:szCs w:val="32"/>
        </w:rPr>
        <w:t>结合我院毕业生就业工作实际，经研究决定，现将</w:t>
      </w:r>
      <w:r>
        <w:rPr>
          <w:rFonts w:hint="eastAsia"/>
          <w:szCs w:val="32"/>
        </w:rPr>
        <w:t>2016届毕业生就业帮扶经费申请的</w:t>
      </w:r>
      <w:r>
        <w:rPr>
          <w:szCs w:val="32"/>
        </w:rPr>
        <w:t>有关事宜通知如下：</w:t>
      </w:r>
    </w:p>
    <w:p>
      <w:pPr>
        <w:ind w:firstLine="636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</w:rPr>
        <w:t>申请</w:t>
      </w:r>
      <w:r>
        <w:rPr>
          <w:rFonts w:ascii="黑体" w:hAnsi="黑体" w:eastAsia="黑体"/>
          <w:szCs w:val="32"/>
        </w:rPr>
        <w:t>对象及</w:t>
      </w:r>
      <w:r>
        <w:rPr>
          <w:rFonts w:hint="eastAsia" w:ascii="黑体" w:hAnsi="黑体" w:eastAsia="黑体"/>
          <w:szCs w:val="32"/>
        </w:rPr>
        <w:t>帮扶经费</w:t>
      </w:r>
      <w:r>
        <w:rPr>
          <w:rFonts w:ascii="黑体" w:hAnsi="黑体" w:eastAsia="黑体"/>
          <w:szCs w:val="32"/>
        </w:rPr>
        <w:t>标准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（一）发放对象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1、</w:t>
      </w:r>
      <w:r>
        <w:rPr>
          <w:rFonts w:hint="eastAsia"/>
          <w:szCs w:val="32"/>
        </w:rPr>
        <w:t>就业困难；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2、</w:t>
      </w:r>
      <w:r>
        <w:rPr>
          <w:rFonts w:hint="eastAsia"/>
          <w:szCs w:val="32"/>
        </w:rPr>
        <w:t>家庭困难；</w:t>
      </w:r>
      <w:r>
        <w:rPr>
          <w:szCs w:val="32"/>
        </w:rPr>
        <w:t xml:space="preserve"> </w:t>
      </w:r>
    </w:p>
    <w:p>
      <w:pPr>
        <w:ind w:firstLine="636" w:firstLineChars="200"/>
        <w:rPr>
          <w:szCs w:val="32"/>
        </w:rPr>
      </w:pPr>
      <w:r>
        <w:rPr>
          <w:rFonts w:hint="eastAsia"/>
          <w:szCs w:val="32"/>
        </w:rPr>
        <w:t>3、残疾；</w:t>
      </w:r>
      <w:r>
        <w:rPr>
          <w:szCs w:val="32"/>
        </w:rPr>
        <w:t xml:space="preserve"> 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以上</w:t>
      </w:r>
      <w:r>
        <w:rPr>
          <w:rFonts w:hint="eastAsia"/>
          <w:szCs w:val="32"/>
        </w:rPr>
        <w:t>三</w:t>
      </w:r>
      <w:r>
        <w:rPr>
          <w:szCs w:val="32"/>
        </w:rPr>
        <w:t>个条件满足一个即可。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帮扶经费发放</w:t>
      </w:r>
      <w:r>
        <w:rPr>
          <w:szCs w:val="32"/>
        </w:rPr>
        <w:t>标准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对符合申请要求的毕业生</w:t>
      </w:r>
      <w:r>
        <w:rPr>
          <w:rFonts w:hint="eastAsia"/>
          <w:szCs w:val="32"/>
        </w:rPr>
        <w:t>省财政厅、省教育厅将</w:t>
      </w:r>
      <w:r>
        <w:rPr>
          <w:szCs w:val="32"/>
        </w:rPr>
        <w:t>一次性给予每人</w:t>
      </w:r>
      <w:r>
        <w:rPr>
          <w:rFonts w:hint="eastAsia"/>
          <w:szCs w:val="32"/>
        </w:rPr>
        <w:t>400</w:t>
      </w:r>
      <w:r>
        <w:rPr>
          <w:szCs w:val="32"/>
        </w:rPr>
        <w:t>元的</w:t>
      </w:r>
      <w:r>
        <w:rPr>
          <w:rFonts w:hint="eastAsia"/>
          <w:szCs w:val="32"/>
        </w:rPr>
        <w:t>就业帮扶经费</w:t>
      </w:r>
      <w:r>
        <w:rPr>
          <w:szCs w:val="32"/>
        </w:rPr>
        <w:t>。</w:t>
      </w:r>
    </w:p>
    <w:p>
      <w:pPr>
        <w:ind w:firstLine="636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二、申请名额</w:t>
      </w:r>
    </w:p>
    <w:p>
      <w:pPr>
        <w:ind w:firstLine="636" w:firstLineChars="200"/>
        <w:rPr>
          <w:szCs w:val="32"/>
        </w:rPr>
      </w:pPr>
      <w:r>
        <w:rPr>
          <w:rFonts w:hint="eastAsia"/>
          <w:szCs w:val="32"/>
        </w:rPr>
        <w:t>四川省教育厅按我院2016届毕业生人数的5%分配帮扶名额，我院2016届困难高校毕业生帮扶名额22人。根据我院毕业生实际情况，具体分配：电子信息工程系11名；机电工程系11名。</w:t>
      </w:r>
    </w:p>
    <w:p>
      <w:pPr>
        <w:ind w:firstLine="636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</w:rPr>
        <w:t>申请</w:t>
      </w:r>
      <w:r>
        <w:rPr>
          <w:rFonts w:ascii="黑体" w:hAnsi="黑体" w:eastAsia="黑体"/>
          <w:szCs w:val="32"/>
        </w:rPr>
        <w:t>时间</w:t>
      </w:r>
    </w:p>
    <w:p>
      <w:pPr>
        <w:ind w:firstLine="636" w:firstLineChars="200"/>
        <w:rPr>
          <w:szCs w:val="32"/>
        </w:rPr>
      </w:pPr>
      <w:r>
        <w:rPr>
          <w:rFonts w:hint="eastAsia"/>
          <w:szCs w:val="32"/>
        </w:rPr>
        <w:t>学生申请</w:t>
      </w:r>
      <w:r>
        <w:rPr>
          <w:szCs w:val="32"/>
        </w:rPr>
        <w:t>阶段的时间为201</w:t>
      </w:r>
      <w:r>
        <w:rPr>
          <w:rFonts w:hint="eastAsia"/>
          <w:szCs w:val="32"/>
        </w:rPr>
        <w:t>6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</w:t>
      </w:r>
      <w:r>
        <w:rPr>
          <w:rFonts w:hint="eastAsia"/>
          <w:szCs w:val="32"/>
        </w:rPr>
        <w:t>25日</w:t>
      </w:r>
      <w:r>
        <w:rPr>
          <w:szCs w:val="32"/>
        </w:rPr>
        <w:t>至</w:t>
      </w:r>
      <w:r>
        <w:rPr>
          <w:rFonts w:hint="eastAsia"/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10日</w:t>
      </w:r>
      <w:r>
        <w:rPr>
          <w:szCs w:val="32"/>
        </w:rPr>
        <w:t>，毕业生向学院申请并提交相关资料</w:t>
      </w:r>
      <w:r>
        <w:rPr>
          <w:rFonts w:hint="eastAsia"/>
          <w:szCs w:val="32"/>
        </w:rPr>
        <w:t>到系部初审，系部初审后将名单交学生工作部审核、公示无异后，学工部报</w:t>
      </w:r>
      <w:r>
        <w:rPr>
          <w:szCs w:val="32"/>
        </w:rPr>
        <w:t>招生就业处</w:t>
      </w:r>
      <w:r>
        <w:rPr>
          <w:rFonts w:hint="eastAsia"/>
          <w:szCs w:val="32"/>
        </w:rPr>
        <w:t>统一报四川省教育厅高校学生就业指导中心审批</w:t>
      </w:r>
      <w:r>
        <w:rPr>
          <w:szCs w:val="32"/>
        </w:rPr>
        <w:t>。</w:t>
      </w:r>
    </w:p>
    <w:p>
      <w:pPr>
        <w:ind w:firstLine="636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</w:t>
      </w:r>
      <w:r>
        <w:rPr>
          <w:rFonts w:ascii="黑体" w:hAnsi="黑体" w:eastAsia="黑体"/>
          <w:szCs w:val="32"/>
        </w:rPr>
        <w:t>、要求</w:t>
      </w:r>
    </w:p>
    <w:p>
      <w:pPr>
        <w:ind w:firstLine="636" w:firstLineChars="200"/>
        <w:rPr>
          <w:szCs w:val="32"/>
        </w:rPr>
      </w:pPr>
      <w:r>
        <w:rPr>
          <w:szCs w:val="32"/>
        </w:rPr>
        <w:t>毕业年级学生向学院提出申请，并提交申请材料。材料包括毕业生本人书面申请材料、2016届毕业生</w:t>
      </w:r>
      <w:r>
        <w:rPr>
          <w:rFonts w:hint="eastAsia"/>
          <w:szCs w:val="32"/>
        </w:rPr>
        <w:t>就业困难帮扶申请表</w:t>
      </w:r>
      <w:r>
        <w:rPr>
          <w:szCs w:val="32"/>
        </w:rPr>
        <w:t>、本人身份证复印件（一份）、个人银行账号信息（一份）。</w:t>
      </w:r>
    </w:p>
    <w:p>
      <w:pPr>
        <w:ind w:firstLine="636" w:firstLineChars="200"/>
        <w:rPr>
          <w:rFonts w:hint="eastAsia"/>
          <w:szCs w:val="32"/>
        </w:rPr>
      </w:pPr>
      <w:r>
        <w:rPr>
          <w:szCs w:val="32"/>
        </w:rPr>
        <w:t>各系部要高度重视，充分认识做好困难家庭毕业生求职补贴发放工作的重要性，细致做好接受学生申请和资格初审的具体工作，既要防止遗漏，也要杜绝虚报冒领。</w:t>
      </w:r>
    </w:p>
    <w:p>
      <w:pPr>
        <w:ind w:firstLine="636" w:firstLineChars="200"/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ind w:firstLine="636" w:firstLineChars="200"/>
        <w:rPr>
          <w:szCs w:val="32"/>
        </w:rPr>
      </w:pPr>
      <w:r>
        <w:rPr>
          <w:szCs w:val="32"/>
        </w:rPr>
        <w:t>附件：四川电子机械职业技术学院2016届毕业生</w:t>
      </w:r>
      <w:r>
        <w:rPr>
          <w:rFonts w:hint="eastAsia"/>
          <w:szCs w:val="32"/>
        </w:rPr>
        <w:t>就业困难帮扶</w:t>
      </w:r>
      <w:r>
        <w:rPr>
          <w:szCs w:val="32"/>
        </w:rPr>
        <w:t>申请表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 </w:t>
      </w:r>
      <w:r>
        <w:rPr>
          <w:rFonts w:hint="eastAsia"/>
          <w:szCs w:val="32"/>
          <w:lang w:eastAsia="zh-CN"/>
        </w:rPr>
        <w:t>四川电子机械职业技术学</w:t>
      </w:r>
      <w:r>
        <w:rPr>
          <w:rFonts w:hint="eastAsia"/>
          <w:szCs w:val="32"/>
          <w:lang w:val="en-US" w:eastAsia="zh-CN"/>
        </w:rPr>
        <w:t>院</w:t>
      </w:r>
      <w:r>
        <w:rPr>
          <w:szCs w:val="32"/>
        </w:rPr>
        <w:t>招生就业处</w:t>
      </w:r>
    </w:p>
    <w:p>
      <w:pPr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         </w:t>
      </w:r>
      <w:r>
        <w:rPr>
          <w:szCs w:val="32"/>
        </w:rPr>
        <w:t>20</w:t>
      </w:r>
      <w:r>
        <w:rPr>
          <w:rFonts w:hint="eastAsia"/>
          <w:szCs w:val="32"/>
        </w:rPr>
        <w:t>16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日</w:t>
      </w: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szCs w:val="32"/>
        </w:rPr>
      </w:pPr>
    </w:p>
    <w:p>
      <w:pPr>
        <w:spacing w:line="500" w:lineRule="exact"/>
        <w:rPr>
          <w:rFonts w:hint="eastAsia"/>
          <w:szCs w:val="32"/>
        </w:rPr>
      </w:pPr>
    </w:p>
    <w:p>
      <w:pPr>
        <w:spacing w:line="500" w:lineRule="exact"/>
        <w:rPr>
          <w:rFonts w:hint="eastAsia"/>
          <w:szCs w:val="32"/>
        </w:rPr>
      </w:pPr>
    </w:p>
    <w:p>
      <w:pPr>
        <w:spacing w:line="500" w:lineRule="exact"/>
        <w:rPr>
          <w:szCs w:val="32"/>
        </w:rPr>
      </w:pPr>
    </w:p>
    <w:p>
      <w:pPr>
        <w:jc w:val="left"/>
        <w:rPr>
          <w:szCs w:val="32"/>
        </w:rPr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pict>
          <v:shape id="Straight Connector 4" o:spid="_x0000_s1027" type="#_x0000_t32" style="position:absolute;left:0;margin-left:3.1pt;margin-top:0.7pt;height:0.05pt;width:445.5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pict>
          <v:shape id="Straight Connector 5" o:spid="_x0000_s1028" type="#_x0000_t32" style="position:absolute;left:0;margin-left:2.35pt;margin-top:32.95pt;height:0.05pt;width:446.25pt;rotation:0f;z-index:251660288;" o:ole="f" o:connectortype="straight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四川电子机械职业技术学院招生就业处 </w:t>
      </w:r>
      <w:r>
        <w:rPr>
          <w:rFonts w:hint="eastAsia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2016年4月25日印发</w:t>
      </w:r>
      <w:r>
        <w:rPr>
          <w:rFonts w:hint="eastAsia"/>
          <w:szCs w:val="32"/>
        </w:rPr>
        <w:t>附件：</w:t>
      </w:r>
    </w:p>
    <w:p>
      <w:pPr>
        <w:jc w:val="center"/>
        <w:rPr>
          <w:szCs w:val="32"/>
        </w:rPr>
      </w:pPr>
      <w:r>
        <w:rPr>
          <w:rFonts w:hint="eastAsia"/>
          <w:b/>
          <w:szCs w:val="32"/>
        </w:rPr>
        <w:t>四川电子机械职业技术学院</w:t>
      </w:r>
    </w:p>
    <w:p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2016届毕业生就业困难帮扶申请表</w:t>
      </w:r>
    </w:p>
    <w:tbl>
      <w:tblPr>
        <w:tblStyle w:val="10"/>
        <w:tblW w:w="8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40"/>
        <w:gridCol w:w="535"/>
        <w:gridCol w:w="545"/>
        <w:gridCol w:w="358"/>
        <w:gridCol w:w="281"/>
        <w:gridCol w:w="1418"/>
        <w:gridCol w:w="98"/>
        <w:gridCol w:w="183"/>
        <w:gridCol w:w="360"/>
        <w:gridCol w:w="540"/>
        <w:gridCol w:w="115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075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903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50" w:type="dxa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vMerge w:val="restart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6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75" w:type="dxa"/>
            <w:gridSpan w:val="2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903" w:type="dxa"/>
            <w:gridSpan w:val="2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030" w:type="dxa"/>
            <w:gridSpan w:val="7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1" w:type="dxa"/>
            <w:gridSpan w:val="3"/>
            <w:vAlign w:val="top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933" w:type="dxa"/>
            <w:gridSpan w:val="9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1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933" w:type="dxa"/>
            <w:gridSpan w:val="9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家庭成员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称谓</w:t>
            </w:r>
          </w:p>
        </w:tc>
        <w:tc>
          <w:tcPr>
            <w:tcW w:w="2698" w:type="dxa"/>
            <w:gridSpan w:val="6"/>
            <w:vAlign w:val="top"/>
          </w:tcPr>
          <w:p>
            <w:pPr>
              <w:ind w:firstLine="556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年收入（元）</w:t>
            </w:r>
          </w:p>
        </w:tc>
        <w:tc>
          <w:tcPr>
            <w:tcW w:w="19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6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6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66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690" w:type="dxa"/>
            <w:gridSpan w:val="2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6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1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是否就业</w:t>
            </w:r>
          </w:p>
        </w:tc>
        <w:tc>
          <w:tcPr>
            <w:tcW w:w="1184" w:type="dxa"/>
            <w:gridSpan w:val="3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  <w:tc>
          <w:tcPr>
            <w:tcW w:w="1516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就业单位</w:t>
            </w:r>
          </w:p>
        </w:tc>
        <w:tc>
          <w:tcPr>
            <w:tcW w:w="4153" w:type="dxa"/>
            <w:gridSpan w:val="5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01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在校所获奖励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1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所获资格证书或等级证书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rFonts w:hint="eastAsia" w:eastAsia="方正仿宋简体"/>
                <w:sz w:val="28"/>
                <w:szCs w:val="28"/>
                <w:lang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1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困难事实</w:t>
            </w:r>
          </w:p>
        </w:tc>
        <w:tc>
          <w:tcPr>
            <w:tcW w:w="6853" w:type="dxa"/>
            <w:gridSpan w:val="1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503" w:type="dxa"/>
            <w:gridSpan w:val="7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系部审核意见</w:t>
            </w:r>
          </w:p>
          <w:p>
            <w:pPr>
              <w:ind w:firstLine="556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2223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盖章</w:t>
            </w:r>
          </w:p>
          <w:p>
            <w:pPr>
              <w:spacing w:line="500" w:lineRule="exact"/>
              <w:ind w:firstLine="2501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4251" w:type="dxa"/>
            <w:gridSpan w:val="6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就业部门审核意见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盖章</w:t>
            </w:r>
          </w:p>
          <w:p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szCs w:val="32"/>
        </w:rPr>
      </w:pPr>
    </w:p>
    <w:sectPr>
      <w:headerReference r:id="rId4" w:type="default"/>
      <w:footerReference r:id="rId5" w:type="default"/>
      <w:pgSz w:w="11906" w:h="16838"/>
      <w:pgMar w:top="1701" w:right="1418" w:bottom="1701" w:left="1588" w:header="851" w:footer="992" w:gutter="0"/>
      <w:pgNumType w:fmt="numberInDash"/>
      <w:cols w:space="720" w:num="1"/>
      <w:docGrid w:type="linesAndChars" w:linePitch="610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9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2CD6"/>
    <w:rsid w:val="00003971"/>
    <w:rsid w:val="0001392C"/>
    <w:rsid w:val="000158E1"/>
    <w:rsid w:val="00041A5A"/>
    <w:rsid w:val="00056A95"/>
    <w:rsid w:val="00060C21"/>
    <w:rsid w:val="00081802"/>
    <w:rsid w:val="00090282"/>
    <w:rsid w:val="000937F0"/>
    <w:rsid w:val="000B6191"/>
    <w:rsid w:val="000C570F"/>
    <w:rsid w:val="000D3B42"/>
    <w:rsid w:val="000D5637"/>
    <w:rsid w:val="000F799B"/>
    <w:rsid w:val="001071E0"/>
    <w:rsid w:val="001110EC"/>
    <w:rsid w:val="0011160B"/>
    <w:rsid w:val="001242A7"/>
    <w:rsid w:val="00127327"/>
    <w:rsid w:val="00152CF2"/>
    <w:rsid w:val="0018262B"/>
    <w:rsid w:val="001936BC"/>
    <w:rsid w:val="00194B0C"/>
    <w:rsid w:val="001B062E"/>
    <w:rsid w:val="001B1397"/>
    <w:rsid w:val="001C4AD2"/>
    <w:rsid w:val="001C5434"/>
    <w:rsid w:val="001D206E"/>
    <w:rsid w:val="001E2050"/>
    <w:rsid w:val="001E68C1"/>
    <w:rsid w:val="001F613D"/>
    <w:rsid w:val="00214E87"/>
    <w:rsid w:val="002174BA"/>
    <w:rsid w:val="00221309"/>
    <w:rsid w:val="00223193"/>
    <w:rsid w:val="00223AFC"/>
    <w:rsid w:val="00223D0A"/>
    <w:rsid w:val="00223E7C"/>
    <w:rsid w:val="002403D4"/>
    <w:rsid w:val="00242CD6"/>
    <w:rsid w:val="002446B4"/>
    <w:rsid w:val="00246E9A"/>
    <w:rsid w:val="0026293F"/>
    <w:rsid w:val="002824D7"/>
    <w:rsid w:val="00283924"/>
    <w:rsid w:val="002C1A93"/>
    <w:rsid w:val="002D2F36"/>
    <w:rsid w:val="002D41D7"/>
    <w:rsid w:val="002E0144"/>
    <w:rsid w:val="00306D29"/>
    <w:rsid w:val="00340C51"/>
    <w:rsid w:val="003470D0"/>
    <w:rsid w:val="00363522"/>
    <w:rsid w:val="00373185"/>
    <w:rsid w:val="00373787"/>
    <w:rsid w:val="003824B3"/>
    <w:rsid w:val="003904D8"/>
    <w:rsid w:val="003A3E3D"/>
    <w:rsid w:val="003A6CE9"/>
    <w:rsid w:val="003C01AF"/>
    <w:rsid w:val="003C30E9"/>
    <w:rsid w:val="003D3865"/>
    <w:rsid w:val="003D7EB1"/>
    <w:rsid w:val="003E129F"/>
    <w:rsid w:val="003E1B29"/>
    <w:rsid w:val="003E37F7"/>
    <w:rsid w:val="003F390D"/>
    <w:rsid w:val="00402F22"/>
    <w:rsid w:val="00426330"/>
    <w:rsid w:val="00427E9D"/>
    <w:rsid w:val="00432FEB"/>
    <w:rsid w:val="004539F3"/>
    <w:rsid w:val="004546CE"/>
    <w:rsid w:val="00456A57"/>
    <w:rsid w:val="00457A32"/>
    <w:rsid w:val="00457F5D"/>
    <w:rsid w:val="00462393"/>
    <w:rsid w:val="00467FD7"/>
    <w:rsid w:val="00472C8F"/>
    <w:rsid w:val="004762E5"/>
    <w:rsid w:val="0049659D"/>
    <w:rsid w:val="004A7D29"/>
    <w:rsid w:val="004B0CA2"/>
    <w:rsid w:val="004D04DD"/>
    <w:rsid w:val="004D3BE5"/>
    <w:rsid w:val="004D50DD"/>
    <w:rsid w:val="004F6478"/>
    <w:rsid w:val="004F6FE6"/>
    <w:rsid w:val="00513A63"/>
    <w:rsid w:val="00517F30"/>
    <w:rsid w:val="00521738"/>
    <w:rsid w:val="005353F0"/>
    <w:rsid w:val="00542E5B"/>
    <w:rsid w:val="0054303E"/>
    <w:rsid w:val="005708D1"/>
    <w:rsid w:val="005775F1"/>
    <w:rsid w:val="0058309A"/>
    <w:rsid w:val="00594D6D"/>
    <w:rsid w:val="005A5331"/>
    <w:rsid w:val="005B71BE"/>
    <w:rsid w:val="005B76C2"/>
    <w:rsid w:val="005E4043"/>
    <w:rsid w:val="005F570A"/>
    <w:rsid w:val="00601EF9"/>
    <w:rsid w:val="00610BBD"/>
    <w:rsid w:val="00643FD5"/>
    <w:rsid w:val="00666A3C"/>
    <w:rsid w:val="00685513"/>
    <w:rsid w:val="00695376"/>
    <w:rsid w:val="006B1A76"/>
    <w:rsid w:val="006D49C9"/>
    <w:rsid w:val="006E5D75"/>
    <w:rsid w:val="006E728B"/>
    <w:rsid w:val="006F2DD1"/>
    <w:rsid w:val="006F3121"/>
    <w:rsid w:val="006F4331"/>
    <w:rsid w:val="00702D73"/>
    <w:rsid w:val="007120A4"/>
    <w:rsid w:val="007175E9"/>
    <w:rsid w:val="00734E7E"/>
    <w:rsid w:val="00747A96"/>
    <w:rsid w:val="007724F8"/>
    <w:rsid w:val="007849AE"/>
    <w:rsid w:val="0078770B"/>
    <w:rsid w:val="00792A3A"/>
    <w:rsid w:val="007B2452"/>
    <w:rsid w:val="007C05F6"/>
    <w:rsid w:val="007D4646"/>
    <w:rsid w:val="007E0326"/>
    <w:rsid w:val="007E365B"/>
    <w:rsid w:val="007E44B4"/>
    <w:rsid w:val="007E72AF"/>
    <w:rsid w:val="00814BD9"/>
    <w:rsid w:val="00822D11"/>
    <w:rsid w:val="0082705A"/>
    <w:rsid w:val="0084512D"/>
    <w:rsid w:val="0085055D"/>
    <w:rsid w:val="00851106"/>
    <w:rsid w:val="00887716"/>
    <w:rsid w:val="00891319"/>
    <w:rsid w:val="008A11CB"/>
    <w:rsid w:val="008A39BA"/>
    <w:rsid w:val="008A3C2F"/>
    <w:rsid w:val="008A55D4"/>
    <w:rsid w:val="008C746A"/>
    <w:rsid w:val="008D21D9"/>
    <w:rsid w:val="008D4047"/>
    <w:rsid w:val="008F729F"/>
    <w:rsid w:val="009009FD"/>
    <w:rsid w:val="00903C59"/>
    <w:rsid w:val="00903CB8"/>
    <w:rsid w:val="0090783D"/>
    <w:rsid w:val="0091219E"/>
    <w:rsid w:val="00913594"/>
    <w:rsid w:val="0091563C"/>
    <w:rsid w:val="00921F8C"/>
    <w:rsid w:val="00930D1C"/>
    <w:rsid w:val="0095566D"/>
    <w:rsid w:val="00977FFB"/>
    <w:rsid w:val="00985243"/>
    <w:rsid w:val="009868E7"/>
    <w:rsid w:val="0099531C"/>
    <w:rsid w:val="00995F70"/>
    <w:rsid w:val="0099696D"/>
    <w:rsid w:val="009D1586"/>
    <w:rsid w:val="009D7168"/>
    <w:rsid w:val="009E0C4A"/>
    <w:rsid w:val="009E1946"/>
    <w:rsid w:val="009F225B"/>
    <w:rsid w:val="00A006C9"/>
    <w:rsid w:val="00A01558"/>
    <w:rsid w:val="00A04BFE"/>
    <w:rsid w:val="00A13557"/>
    <w:rsid w:val="00A15888"/>
    <w:rsid w:val="00A255EC"/>
    <w:rsid w:val="00A4127E"/>
    <w:rsid w:val="00A538E5"/>
    <w:rsid w:val="00A70D2C"/>
    <w:rsid w:val="00A91C64"/>
    <w:rsid w:val="00AA4072"/>
    <w:rsid w:val="00AA4882"/>
    <w:rsid w:val="00AA6113"/>
    <w:rsid w:val="00AD2509"/>
    <w:rsid w:val="00AE3E43"/>
    <w:rsid w:val="00AE54F8"/>
    <w:rsid w:val="00AF4685"/>
    <w:rsid w:val="00B1335E"/>
    <w:rsid w:val="00B17B91"/>
    <w:rsid w:val="00B32CAA"/>
    <w:rsid w:val="00B3502B"/>
    <w:rsid w:val="00B54A21"/>
    <w:rsid w:val="00B84866"/>
    <w:rsid w:val="00BA79B0"/>
    <w:rsid w:val="00BA7E1F"/>
    <w:rsid w:val="00BA7E26"/>
    <w:rsid w:val="00BB0D47"/>
    <w:rsid w:val="00BB290B"/>
    <w:rsid w:val="00BD0D7F"/>
    <w:rsid w:val="00BD3BDA"/>
    <w:rsid w:val="00BE28A4"/>
    <w:rsid w:val="00BE3E53"/>
    <w:rsid w:val="00BF0A92"/>
    <w:rsid w:val="00BF3C7E"/>
    <w:rsid w:val="00C008BE"/>
    <w:rsid w:val="00C57E30"/>
    <w:rsid w:val="00CD6586"/>
    <w:rsid w:val="00D01220"/>
    <w:rsid w:val="00D150BD"/>
    <w:rsid w:val="00D367B7"/>
    <w:rsid w:val="00D41190"/>
    <w:rsid w:val="00D9022E"/>
    <w:rsid w:val="00DB7758"/>
    <w:rsid w:val="00DC6FEC"/>
    <w:rsid w:val="00DD1786"/>
    <w:rsid w:val="00DF3E8B"/>
    <w:rsid w:val="00E00FC4"/>
    <w:rsid w:val="00E1130B"/>
    <w:rsid w:val="00E204BB"/>
    <w:rsid w:val="00E74DBF"/>
    <w:rsid w:val="00E90EDC"/>
    <w:rsid w:val="00EA1C5A"/>
    <w:rsid w:val="00EA4DF6"/>
    <w:rsid w:val="00EA7C9E"/>
    <w:rsid w:val="00EB1166"/>
    <w:rsid w:val="00EB6C45"/>
    <w:rsid w:val="00EC03BD"/>
    <w:rsid w:val="00EF21AC"/>
    <w:rsid w:val="00F002AA"/>
    <w:rsid w:val="00F062E1"/>
    <w:rsid w:val="00F24FD2"/>
    <w:rsid w:val="00F35A9B"/>
    <w:rsid w:val="00F370F3"/>
    <w:rsid w:val="00F37739"/>
    <w:rsid w:val="00F55096"/>
    <w:rsid w:val="00F617C8"/>
    <w:rsid w:val="00F72CBE"/>
    <w:rsid w:val="00FA3B93"/>
    <w:rsid w:val="00FA68AD"/>
    <w:rsid w:val="00FF58E8"/>
    <w:rsid w:val="01444C23"/>
    <w:rsid w:val="05750484"/>
    <w:rsid w:val="07657BED"/>
    <w:rsid w:val="11B40E99"/>
    <w:rsid w:val="1B8F7EC5"/>
    <w:rsid w:val="21CA6438"/>
    <w:rsid w:val="24531927"/>
    <w:rsid w:val="2A9C0A77"/>
    <w:rsid w:val="3A800389"/>
    <w:rsid w:val="3B1B2B24"/>
    <w:rsid w:val="3D3118E1"/>
    <w:rsid w:val="445149E3"/>
    <w:rsid w:val="5A006E37"/>
    <w:rsid w:val="5F3A48F1"/>
    <w:rsid w:val="64C53862"/>
    <w:rsid w:val="67F33A1A"/>
    <w:rsid w:val="67FE567E"/>
    <w:rsid w:val="68AC2EBA"/>
    <w:rsid w:val="68C078EA"/>
    <w:rsid w:val="6B5F4901"/>
    <w:rsid w:val="6EDA396D"/>
    <w:rsid w:val="70AC4E16"/>
    <w:rsid w:val="7E1E2B24"/>
    <w:rsid w:val="7FB14AB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4"/>
        <o:r id="V:Rule2" type="connector" idref="#Straight Connector 5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nhideWhenUsed/>
    <w:uiPriority w:val="9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无间隔1"/>
    <w:basedOn w:val="1"/>
    <w:uiPriority w:val="0"/>
    <w:rPr>
      <w:rFonts w:ascii="Calibri" w:hAnsi="Calibri" w:eastAsia="宋体"/>
      <w:sz w:val="21"/>
      <w:szCs w:val="21"/>
    </w:rPr>
  </w:style>
  <w:style w:type="character" w:customStyle="1" w:styleId="13">
    <w:name w:val="style61"/>
    <w:basedOn w:val="8"/>
    <w:uiPriority w:val="0"/>
    <w:rPr>
      <w:sz w:val="23"/>
      <w:szCs w:val="23"/>
    </w:rPr>
  </w:style>
  <w:style w:type="character" w:customStyle="1" w:styleId="14">
    <w:name w:val="日期 Char"/>
    <w:basedOn w:val="8"/>
    <w:link w:val="3"/>
    <w:uiPriority w:val="0"/>
    <w:rPr>
      <w:kern w:val="2"/>
      <w:sz w:val="21"/>
      <w:szCs w:val="24"/>
    </w:rPr>
  </w:style>
  <w:style w:type="character" w:customStyle="1" w:styleId="15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5"/>
    <w:uiPriority w:val="99"/>
    <w:rPr>
      <w:kern w:val="2"/>
      <w:sz w:val="18"/>
      <w:szCs w:val="18"/>
    </w:rPr>
  </w:style>
  <w:style w:type="character" w:customStyle="1" w:styleId="17">
    <w:name w:val="标题 2 Char"/>
    <w:basedOn w:val="8"/>
    <w:link w:val="2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批注框文本 Char"/>
    <w:basedOn w:val="8"/>
    <w:link w:val="4"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160</Words>
  <Characters>917</Characters>
  <Lines>7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2015-08-03T08:34:00Z</dcterms:created>
  <dc:creator>CNN88</dc:creator>
  <cp:lastModifiedBy>Administrator</cp:lastModifiedBy>
  <cp:lastPrinted>2016-05-03T06:56:00Z</cp:lastPrinted>
  <dcterms:modified xsi:type="dcterms:W3CDTF">2016-05-06T01:56:34Z</dcterms:modified>
  <dc:title>五、党委会议制度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